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4F6" w:rsidRDefault="004744F6" w:rsidP="009370EC">
      <w:pPr>
        <w:spacing w:line="360" w:lineRule="auto"/>
        <w:jc w:val="center"/>
        <w:rPr>
          <w:b/>
          <w:sz w:val="44"/>
          <w:szCs w:val="24"/>
        </w:rPr>
      </w:pPr>
      <w:r w:rsidRPr="004744F6">
        <w:rPr>
          <w:noProof/>
          <w:lang w:eastAsia="fr-FR"/>
        </w:rPr>
        <w:drawing>
          <wp:inline distT="0" distB="0" distL="0" distR="0" wp14:anchorId="5CB228E1" wp14:editId="39D716CE">
            <wp:extent cx="523875" cy="523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3875" cy="523875"/>
                    </a:xfrm>
                    <a:prstGeom prst="rect">
                      <a:avLst/>
                    </a:prstGeom>
                  </pic:spPr>
                </pic:pic>
              </a:graphicData>
            </a:graphic>
          </wp:inline>
        </w:drawing>
      </w:r>
      <w:r w:rsidRPr="004744F6">
        <w:rPr>
          <w:noProof/>
          <w:lang w:eastAsia="fr-FR"/>
        </w:rPr>
        <w:drawing>
          <wp:inline distT="0" distB="0" distL="0" distR="0" wp14:anchorId="1F70F556" wp14:editId="4B80A415">
            <wp:extent cx="1362075" cy="527050"/>
            <wp:effectExtent l="0" t="0" r="952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62075" cy="527050"/>
                    </a:xfrm>
                    <a:prstGeom prst="rect">
                      <a:avLst/>
                    </a:prstGeom>
                  </pic:spPr>
                </pic:pic>
              </a:graphicData>
            </a:graphic>
          </wp:inline>
        </w:drawing>
      </w:r>
      <w:r>
        <w:rPr>
          <w:b/>
          <w:noProof/>
          <w:sz w:val="44"/>
          <w:szCs w:val="24"/>
          <w:lang w:eastAsia="fr-FR"/>
        </w:rPr>
        <w:drawing>
          <wp:inline distT="0" distB="0" distL="0" distR="0">
            <wp:extent cx="2456873" cy="53721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arles-gide.jpg"/>
                    <pic:cNvPicPr/>
                  </pic:nvPicPr>
                  <pic:blipFill>
                    <a:blip r:embed="rId6">
                      <a:extLst>
                        <a:ext uri="{28A0092B-C50C-407E-A947-70E740481C1C}">
                          <a14:useLocalDpi xmlns:a14="http://schemas.microsoft.com/office/drawing/2010/main" val="0"/>
                        </a:ext>
                      </a:extLst>
                    </a:blip>
                    <a:stretch>
                      <a:fillRect/>
                    </a:stretch>
                  </pic:blipFill>
                  <pic:spPr>
                    <a:xfrm>
                      <a:off x="0" y="0"/>
                      <a:ext cx="2557913" cy="559303"/>
                    </a:xfrm>
                    <a:prstGeom prst="rect">
                      <a:avLst/>
                    </a:prstGeom>
                  </pic:spPr>
                </pic:pic>
              </a:graphicData>
            </a:graphic>
          </wp:inline>
        </w:drawing>
      </w:r>
      <w:r>
        <w:rPr>
          <w:b/>
          <w:noProof/>
          <w:sz w:val="44"/>
          <w:szCs w:val="24"/>
          <w:lang w:eastAsia="fr-FR"/>
        </w:rPr>
        <w:drawing>
          <wp:inline distT="0" distB="0" distL="0" distR="0" wp14:anchorId="2AD091F7" wp14:editId="1E7C8075">
            <wp:extent cx="898212" cy="54419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gg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403" cy="546128"/>
                    </a:xfrm>
                    <a:prstGeom prst="rect">
                      <a:avLst/>
                    </a:prstGeom>
                  </pic:spPr>
                </pic:pic>
              </a:graphicData>
            </a:graphic>
          </wp:inline>
        </w:drawing>
      </w:r>
    </w:p>
    <w:p w:rsidR="004744F6" w:rsidRDefault="004744F6" w:rsidP="009370EC">
      <w:pPr>
        <w:spacing w:line="360" w:lineRule="auto"/>
        <w:jc w:val="center"/>
        <w:rPr>
          <w:b/>
          <w:sz w:val="44"/>
          <w:szCs w:val="24"/>
        </w:rPr>
      </w:pPr>
    </w:p>
    <w:p w:rsidR="009370EC" w:rsidRPr="00032557" w:rsidRDefault="004744F6" w:rsidP="009370EC">
      <w:pPr>
        <w:spacing w:line="360" w:lineRule="auto"/>
        <w:jc w:val="center"/>
        <w:rPr>
          <w:b/>
          <w:sz w:val="44"/>
          <w:szCs w:val="24"/>
        </w:rPr>
      </w:pPr>
      <w:r>
        <w:rPr>
          <w:b/>
          <w:sz w:val="44"/>
          <w:szCs w:val="24"/>
        </w:rPr>
        <w:t>C</w:t>
      </w:r>
      <w:r w:rsidR="009370EC" w:rsidRPr="00032557">
        <w:rPr>
          <w:b/>
          <w:sz w:val="44"/>
          <w:szCs w:val="24"/>
        </w:rPr>
        <w:t>olloque</w:t>
      </w:r>
    </w:p>
    <w:p w:rsidR="009370EC" w:rsidRPr="00032557" w:rsidRDefault="009370EC" w:rsidP="009370EC">
      <w:pPr>
        <w:spacing w:line="360" w:lineRule="auto"/>
        <w:jc w:val="center"/>
        <w:rPr>
          <w:b/>
          <w:sz w:val="44"/>
          <w:szCs w:val="24"/>
        </w:rPr>
      </w:pPr>
      <w:r w:rsidRPr="00032557">
        <w:rPr>
          <w:b/>
          <w:sz w:val="44"/>
          <w:szCs w:val="24"/>
        </w:rPr>
        <w:t>Philosophie et économie des émotions</w:t>
      </w:r>
    </w:p>
    <w:p w:rsidR="009370EC" w:rsidRPr="00032557" w:rsidRDefault="009370EC" w:rsidP="009370EC">
      <w:pPr>
        <w:spacing w:line="360" w:lineRule="auto"/>
        <w:jc w:val="center"/>
        <w:rPr>
          <w:b/>
          <w:sz w:val="24"/>
          <w:szCs w:val="24"/>
        </w:rPr>
      </w:pPr>
      <w:r w:rsidRPr="00032557">
        <w:rPr>
          <w:b/>
          <w:sz w:val="24"/>
          <w:szCs w:val="24"/>
        </w:rPr>
        <w:t>En partenariat avec l’Association Charles Gide pour l’Etude de la Pensée Economique</w:t>
      </w:r>
    </w:p>
    <w:p w:rsidR="009370EC" w:rsidRPr="00032557" w:rsidRDefault="009370EC" w:rsidP="009370EC">
      <w:pPr>
        <w:spacing w:line="360" w:lineRule="auto"/>
        <w:jc w:val="center"/>
        <w:rPr>
          <w:b/>
          <w:sz w:val="24"/>
          <w:szCs w:val="24"/>
        </w:rPr>
      </w:pPr>
      <w:r w:rsidRPr="00032557">
        <w:rPr>
          <w:b/>
          <w:sz w:val="24"/>
          <w:szCs w:val="24"/>
        </w:rPr>
        <w:t>Centre Gille Gaston Granger, Aix-Marseille Université, CNRS</w:t>
      </w:r>
    </w:p>
    <w:p w:rsidR="009370EC" w:rsidRPr="00800D06" w:rsidRDefault="009370EC" w:rsidP="009370EC">
      <w:pPr>
        <w:spacing w:line="360" w:lineRule="auto"/>
        <w:jc w:val="center"/>
        <w:rPr>
          <w:sz w:val="24"/>
          <w:szCs w:val="24"/>
        </w:rPr>
      </w:pPr>
    </w:p>
    <w:p w:rsidR="009370EC" w:rsidRPr="00800D06" w:rsidRDefault="009370EC" w:rsidP="009370EC">
      <w:pPr>
        <w:spacing w:line="360" w:lineRule="auto"/>
        <w:jc w:val="center"/>
        <w:rPr>
          <w:sz w:val="24"/>
          <w:szCs w:val="24"/>
        </w:rPr>
      </w:pPr>
      <w:r w:rsidRPr="00800D06">
        <w:rPr>
          <w:sz w:val="24"/>
          <w:szCs w:val="24"/>
        </w:rPr>
        <w:t>Aix-en-Provence</w:t>
      </w:r>
    </w:p>
    <w:p w:rsidR="009370EC" w:rsidRPr="00800D06" w:rsidRDefault="009370EC" w:rsidP="009370EC">
      <w:pPr>
        <w:spacing w:line="360" w:lineRule="auto"/>
        <w:jc w:val="center"/>
        <w:rPr>
          <w:sz w:val="24"/>
          <w:szCs w:val="24"/>
        </w:rPr>
      </w:pPr>
      <w:r w:rsidRPr="00800D06">
        <w:rPr>
          <w:sz w:val="24"/>
          <w:szCs w:val="24"/>
        </w:rPr>
        <w:t>23-25 septembre 202</w:t>
      </w:r>
      <w:r>
        <w:rPr>
          <w:sz w:val="24"/>
          <w:szCs w:val="24"/>
        </w:rPr>
        <w:t>1</w:t>
      </w:r>
    </w:p>
    <w:p w:rsidR="009370EC" w:rsidRPr="00800D06" w:rsidRDefault="009370EC" w:rsidP="009370EC">
      <w:pPr>
        <w:spacing w:line="360" w:lineRule="auto"/>
        <w:rPr>
          <w:sz w:val="24"/>
          <w:szCs w:val="24"/>
        </w:rPr>
      </w:pPr>
    </w:p>
    <w:p w:rsidR="009370EC" w:rsidRDefault="009370EC" w:rsidP="009370EC">
      <w:pPr>
        <w:spacing w:line="360" w:lineRule="auto"/>
        <w:rPr>
          <w:sz w:val="24"/>
          <w:szCs w:val="24"/>
        </w:rPr>
      </w:pPr>
      <w:r w:rsidRPr="00800D06">
        <w:rPr>
          <w:sz w:val="24"/>
          <w:szCs w:val="24"/>
        </w:rPr>
        <w:t xml:space="preserve">L’histoire de la philosophie est traversée par une opposition longtemps restée structurante entre le corps et l’esprit, les passions et la raison. La terminologie a changé – on parle aujourd’hui d’émotions plutôt que de passions et de rationalité plutôt que de raison – et bien que les grandes lignes de cette fracture historique restent encore apparentes, de nombreuses recherches se sont développées sur leurs interactions respectives. L’influence des émotions sur la délibération a, bien sûr, toujours été connue, mais elle a longtemps été considérée comme strictement négative. Les travaux du neuroscientifique Antonio Damasio ont démontré que tel n’était pas nécessairement le cas. Il a, par ailleurs, été montré que les émotions pouvaient également jouer un rôle positif non négligeable en amont de la délibération, dans la recherche et le traitement des informations par exemple, ou en aval de celle-ci, dans la mise à exécution de l’action. </w:t>
      </w:r>
    </w:p>
    <w:p w:rsidR="009370EC" w:rsidRPr="00800D06" w:rsidRDefault="009370EC" w:rsidP="009370EC">
      <w:pPr>
        <w:spacing w:line="360" w:lineRule="auto"/>
        <w:rPr>
          <w:sz w:val="24"/>
          <w:szCs w:val="24"/>
        </w:rPr>
      </w:pPr>
    </w:p>
    <w:p w:rsidR="009370EC" w:rsidRDefault="009370EC" w:rsidP="009370EC">
      <w:pPr>
        <w:spacing w:line="360" w:lineRule="auto"/>
        <w:rPr>
          <w:sz w:val="24"/>
          <w:szCs w:val="24"/>
        </w:rPr>
      </w:pPr>
      <w:r w:rsidRPr="00800D06">
        <w:rPr>
          <w:sz w:val="24"/>
          <w:szCs w:val="24"/>
        </w:rPr>
        <w:lastRenderedPageBreak/>
        <w:t xml:space="preserve">L’idée selon laquelle les émotions joueraient un rôle important dans la rationalité de nos actions a naturellement interpellé les économistes, ou au moins, une partie d’entre eux. A l’instar de la philosophie, la (re)découverte de ce potentiel cognitif a suscité à la fois une vague de nouvelles recherches théoriques ou empiriques ainsi qu’une de nombreuses réinterprétations d’auteurs classiques. Les économistes ayant, par ailleurs, élargi leur expertise scientifique aux délibérations extra-prudentielles, notamment l’action morale, on a pu assister ces dernières décennies au développement concomitant de deux perspectives de recherche portant sur le même objet : l’interaction entre émotion et cognition. </w:t>
      </w:r>
    </w:p>
    <w:p w:rsidR="009370EC" w:rsidRDefault="009370EC" w:rsidP="009370EC">
      <w:pPr>
        <w:spacing w:line="360" w:lineRule="auto"/>
        <w:rPr>
          <w:sz w:val="24"/>
          <w:szCs w:val="24"/>
        </w:rPr>
      </w:pPr>
      <w:r w:rsidRPr="00800D06">
        <w:rPr>
          <w:sz w:val="24"/>
          <w:szCs w:val="24"/>
        </w:rPr>
        <w:t>L’objet de ce colloque est de réunir ces deux perspectives et de faire dialoguer philosophes et économistes sur le rôle des émotions dans la collecte d’information (grâce à la curiosité ou au courage, par exemple), dans l’évaluation des états du monde (rôle de l’empathie), dans la motivation (on peut notamment pe</w:t>
      </w:r>
      <w:r w:rsidR="00394AE9">
        <w:rPr>
          <w:sz w:val="24"/>
          <w:szCs w:val="24"/>
        </w:rPr>
        <w:t>n</w:t>
      </w:r>
      <w:r w:rsidRPr="00800D06">
        <w:rPr>
          <w:sz w:val="24"/>
          <w:szCs w:val="24"/>
        </w:rPr>
        <w:t xml:space="preserve">ser au rôle joué par le regret et la honte dans le respect des règles ou des engagements pris envers soi-même) et la prise de décision prudentielle et non-prudentielle. Mais au-delà la prise de décision elle-même, ce colloque sera également l’occasion de s’interroger sur ce que les émotions nous apprennent de la nature même de l’action prudentielle (on peut penser au rôle joué par la peur ou par le dégoût, par exemple) ou de l’action morale (pensons, par exemple, au rôle joué par les émotions dans le développement de l’éthique animale ou du rôle qu’elles seront peut-être appelées à jouer dans l’éthique environnementale). Toutes les approches sont bienvenues : l’histoire de la pensée (économique et/ou philosophique), les études de cas, les études expérimentales, les études théoriques, les travaux multidisciplinaires etc. </w:t>
      </w:r>
    </w:p>
    <w:p w:rsidR="009370EC" w:rsidRPr="00800D06" w:rsidRDefault="009370EC" w:rsidP="009370EC">
      <w:pPr>
        <w:spacing w:line="360" w:lineRule="auto"/>
        <w:rPr>
          <w:sz w:val="24"/>
          <w:szCs w:val="24"/>
        </w:rPr>
      </w:pPr>
    </w:p>
    <w:p w:rsidR="00011E39" w:rsidRPr="003B2DE3" w:rsidRDefault="00011E39" w:rsidP="00011E39">
      <w:pPr>
        <w:rPr>
          <w:sz w:val="24"/>
          <w:szCs w:val="24"/>
        </w:rPr>
      </w:pPr>
      <w:r>
        <w:rPr>
          <w:sz w:val="24"/>
          <w:szCs w:val="24"/>
        </w:rPr>
        <w:t xml:space="preserve">Les propositions de communications doivent être </w:t>
      </w:r>
      <w:r w:rsidR="00EB07AB">
        <w:rPr>
          <w:sz w:val="24"/>
          <w:szCs w:val="24"/>
        </w:rPr>
        <w:t xml:space="preserve">déposées </w:t>
      </w:r>
      <w:r>
        <w:rPr>
          <w:sz w:val="24"/>
          <w:szCs w:val="24"/>
        </w:rPr>
        <w:t>avec</w:t>
      </w:r>
      <w:r w:rsidRPr="003B2DE3">
        <w:rPr>
          <w:sz w:val="24"/>
          <w:szCs w:val="24"/>
        </w:rPr>
        <w:t xml:space="preserve"> un résumé de </w:t>
      </w:r>
      <w:r>
        <w:rPr>
          <w:sz w:val="24"/>
          <w:szCs w:val="24"/>
        </w:rPr>
        <w:t>10</w:t>
      </w:r>
      <w:r w:rsidRPr="003B2DE3">
        <w:rPr>
          <w:sz w:val="24"/>
          <w:szCs w:val="24"/>
        </w:rPr>
        <w:t xml:space="preserve">00 mots environ </w:t>
      </w:r>
      <w:r>
        <w:rPr>
          <w:sz w:val="24"/>
          <w:szCs w:val="24"/>
        </w:rPr>
        <w:t>avant</w:t>
      </w:r>
      <w:r w:rsidRPr="003B2DE3">
        <w:rPr>
          <w:sz w:val="24"/>
          <w:szCs w:val="24"/>
        </w:rPr>
        <w:t xml:space="preserve"> le 1</w:t>
      </w:r>
      <w:bookmarkStart w:id="0" w:name="_GoBack"/>
      <w:bookmarkEnd w:id="0"/>
      <w:r w:rsidR="00394AE9">
        <w:rPr>
          <w:sz w:val="24"/>
          <w:szCs w:val="24"/>
        </w:rPr>
        <w:t>5</w:t>
      </w:r>
      <w:r w:rsidRPr="003B2DE3">
        <w:rPr>
          <w:sz w:val="24"/>
          <w:szCs w:val="24"/>
        </w:rPr>
        <w:t xml:space="preserve"> mars 2021</w:t>
      </w:r>
      <w:r>
        <w:rPr>
          <w:sz w:val="24"/>
          <w:szCs w:val="24"/>
        </w:rPr>
        <w:t xml:space="preserve"> </w:t>
      </w:r>
      <w:r w:rsidR="00EB07AB">
        <w:rPr>
          <w:sz w:val="24"/>
          <w:szCs w:val="24"/>
        </w:rPr>
        <w:t>sur le site du colloque :</w:t>
      </w:r>
      <w:r>
        <w:rPr>
          <w:sz w:val="24"/>
          <w:szCs w:val="24"/>
        </w:rPr>
        <w:t xml:space="preserve"> </w:t>
      </w:r>
      <w:hyperlink r:id="rId8" w:history="1">
        <w:r>
          <w:rPr>
            <w:rStyle w:val="Lienhypertexte"/>
          </w:rPr>
          <w:t>https://gide2021.sciencesconf.org/</w:t>
        </w:r>
      </w:hyperlink>
    </w:p>
    <w:p w:rsidR="00011E39" w:rsidRPr="003B2DE3" w:rsidRDefault="00EB07AB" w:rsidP="00011E39">
      <w:pPr>
        <w:rPr>
          <w:sz w:val="24"/>
          <w:szCs w:val="24"/>
        </w:rPr>
      </w:pPr>
      <w:r>
        <w:rPr>
          <w:sz w:val="24"/>
          <w:szCs w:val="24"/>
        </w:rPr>
        <w:t xml:space="preserve">Notification </w:t>
      </w:r>
      <w:r w:rsidR="00011E39" w:rsidRPr="003B2DE3">
        <w:rPr>
          <w:sz w:val="24"/>
          <w:szCs w:val="24"/>
        </w:rPr>
        <w:t>du comité scientifique</w:t>
      </w:r>
      <w:r>
        <w:rPr>
          <w:sz w:val="24"/>
          <w:szCs w:val="24"/>
        </w:rPr>
        <w:t> :</w:t>
      </w:r>
      <w:r w:rsidR="00011E39" w:rsidRPr="003B2DE3">
        <w:rPr>
          <w:sz w:val="24"/>
          <w:szCs w:val="24"/>
        </w:rPr>
        <w:t xml:space="preserve"> 15 avril 2021.</w:t>
      </w:r>
    </w:p>
    <w:p w:rsidR="00011E39" w:rsidRDefault="00EB07AB" w:rsidP="00011E39">
      <w:pPr>
        <w:rPr>
          <w:sz w:val="24"/>
          <w:szCs w:val="24"/>
        </w:rPr>
      </w:pPr>
      <w:r>
        <w:rPr>
          <w:sz w:val="24"/>
          <w:szCs w:val="24"/>
        </w:rPr>
        <w:t xml:space="preserve">Date-limite d’inscription et de dépôt des </w:t>
      </w:r>
      <w:r w:rsidR="00011E39" w:rsidRPr="003B2DE3">
        <w:rPr>
          <w:sz w:val="24"/>
          <w:szCs w:val="24"/>
        </w:rPr>
        <w:t>communications</w:t>
      </w:r>
      <w:r>
        <w:rPr>
          <w:sz w:val="24"/>
          <w:szCs w:val="24"/>
        </w:rPr>
        <w:t> :</w:t>
      </w:r>
      <w:r w:rsidR="00011E39" w:rsidRPr="003B2DE3">
        <w:rPr>
          <w:sz w:val="24"/>
          <w:szCs w:val="24"/>
        </w:rPr>
        <w:t>15 septembre 2021.</w:t>
      </w:r>
    </w:p>
    <w:p w:rsidR="00011E39" w:rsidRDefault="00011E39" w:rsidP="00011E39">
      <w:pPr>
        <w:rPr>
          <w:sz w:val="24"/>
          <w:szCs w:val="24"/>
        </w:rPr>
      </w:pPr>
      <w:r w:rsidRPr="003B2DE3">
        <w:rPr>
          <w:sz w:val="24"/>
          <w:szCs w:val="24"/>
        </w:rPr>
        <w:t>Vous serez notifié de la décision du comité scientifique le 15 avril 2021.</w:t>
      </w:r>
    </w:p>
    <w:p w:rsidR="00011E39" w:rsidRPr="003B2DE3" w:rsidRDefault="00011E39" w:rsidP="00011E39">
      <w:pPr>
        <w:rPr>
          <w:sz w:val="24"/>
          <w:szCs w:val="24"/>
        </w:rPr>
      </w:pPr>
      <w:r>
        <w:rPr>
          <w:sz w:val="24"/>
          <w:szCs w:val="24"/>
        </w:rPr>
        <w:t>Pour tout contact et renseignements : christophe.salvat@univ-amu.fr</w:t>
      </w:r>
    </w:p>
    <w:p w:rsidR="009370EC" w:rsidRPr="00011E39" w:rsidRDefault="00011E39" w:rsidP="009370EC">
      <w:pPr>
        <w:rPr>
          <w:b/>
          <w:sz w:val="28"/>
        </w:rPr>
      </w:pPr>
      <w:r>
        <w:rPr>
          <w:sz w:val="24"/>
          <w:szCs w:val="24"/>
        </w:rPr>
        <w:br w:type="page"/>
      </w:r>
      <w:r w:rsidR="009370EC" w:rsidRPr="00011E39">
        <w:rPr>
          <w:b/>
          <w:sz w:val="28"/>
        </w:rPr>
        <w:lastRenderedPageBreak/>
        <w:t>Comité d’Organisation :</w:t>
      </w:r>
    </w:p>
    <w:p w:rsidR="009370EC" w:rsidRDefault="009370EC" w:rsidP="009370EC">
      <w:pPr>
        <w:spacing w:after="0" w:line="240" w:lineRule="auto"/>
      </w:pPr>
      <w:r>
        <w:t>Christophe Salvat (CNRS, AMU)</w:t>
      </w:r>
    </w:p>
    <w:p w:rsidR="009370EC" w:rsidRDefault="009370EC" w:rsidP="009370EC">
      <w:pPr>
        <w:spacing w:after="0" w:line="240" w:lineRule="auto"/>
      </w:pPr>
      <w:r>
        <w:t>Michel Le Du (AMU)</w:t>
      </w:r>
    </w:p>
    <w:p w:rsidR="009370EC" w:rsidRDefault="009370EC" w:rsidP="009370EC">
      <w:pPr>
        <w:spacing w:after="0" w:line="240" w:lineRule="auto"/>
      </w:pPr>
      <w:r>
        <w:t xml:space="preserve">Sylvie </w:t>
      </w:r>
      <w:proofErr w:type="spellStart"/>
      <w:r>
        <w:t>Rivot</w:t>
      </w:r>
      <w:proofErr w:type="spellEnd"/>
      <w:r>
        <w:t xml:space="preserve"> (Présidente de l’Association Gide, </w:t>
      </w:r>
      <w:r w:rsidR="00EB07AB">
        <w:t>U</w:t>
      </w:r>
      <w:r>
        <w:t xml:space="preserve">niversité de </w:t>
      </w:r>
      <w:r w:rsidR="00EB07AB">
        <w:t>Haute-Alsace</w:t>
      </w:r>
      <w:r>
        <w:t>)</w:t>
      </w:r>
    </w:p>
    <w:p w:rsidR="009370EC" w:rsidRDefault="009370EC" w:rsidP="009370EC">
      <w:pPr>
        <w:spacing w:after="0" w:line="240" w:lineRule="auto"/>
      </w:pPr>
      <w:r>
        <w:t>Pierre Léger (doctorant, AMU)</w:t>
      </w:r>
    </w:p>
    <w:p w:rsidR="009370EC" w:rsidRDefault="009370EC" w:rsidP="009370EC">
      <w:pPr>
        <w:spacing w:after="0" w:line="240" w:lineRule="auto"/>
      </w:pPr>
      <w:proofErr w:type="spellStart"/>
      <w:r>
        <w:t>Izem</w:t>
      </w:r>
      <w:proofErr w:type="spellEnd"/>
      <w:r>
        <w:t xml:space="preserve"> </w:t>
      </w:r>
      <w:proofErr w:type="spellStart"/>
      <w:r>
        <w:t>Lanterno</w:t>
      </w:r>
      <w:proofErr w:type="spellEnd"/>
      <w:r>
        <w:t>, (doctorant, AMU)</w:t>
      </w:r>
    </w:p>
    <w:p w:rsidR="009370EC" w:rsidRDefault="009370EC" w:rsidP="009370EC"/>
    <w:p w:rsidR="009370EC" w:rsidRDefault="009370EC" w:rsidP="009370EC"/>
    <w:p w:rsidR="009370EC" w:rsidRPr="00011E39" w:rsidRDefault="009370EC" w:rsidP="009370EC">
      <w:pPr>
        <w:rPr>
          <w:b/>
          <w:sz w:val="28"/>
        </w:rPr>
      </w:pPr>
      <w:r w:rsidRPr="00011E39">
        <w:rPr>
          <w:b/>
          <w:sz w:val="28"/>
        </w:rPr>
        <w:t>Comité scientifique :</w:t>
      </w:r>
    </w:p>
    <w:p w:rsidR="009370EC" w:rsidRDefault="009370EC" w:rsidP="009370EC">
      <w:pPr>
        <w:spacing w:after="0" w:line="240" w:lineRule="auto"/>
      </w:pPr>
      <w:r>
        <w:t>Laurie Bréban, Université Paris 1</w:t>
      </w:r>
    </w:p>
    <w:p w:rsidR="009370EC" w:rsidRDefault="009370EC" w:rsidP="009370EC">
      <w:pPr>
        <w:spacing w:after="0" w:line="240" w:lineRule="auto"/>
      </w:pPr>
      <w:r>
        <w:t xml:space="preserve">Laura </w:t>
      </w:r>
      <w:proofErr w:type="spellStart"/>
      <w:r>
        <w:t>Candiotto</w:t>
      </w:r>
      <w:proofErr w:type="spellEnd"/>
      <w:r>
        <w:t>, Université de Munich</w:t>
      </w:r>
      <w:r w:rsidR="00011E39">
        <w:t>, Allemagne</w:t>
      </w:r>
    </w:p>
    <w:p w:rsidR="009370EC" w:rsidRDefault="009370EC" w:rsidP="009370EC">
      <w:pPr>
        <w:spacing w:after="0" w:line="240" w:lineRule="auto"/>
      </w:pPr>
      <w:r>
        <w:t>Cyril Hédoin, Université de Reims</w:t>
      </w:r>
    </w:p>
    <w:p w:rsidR="009370EC" w:rsidRDefault="009370EC" w:rsidP="009370EC">
      <w:pPr>
        <w:spacing w:after="0" w:line="240" w:lineRule="auto"/>
      </w:pPr>
      <w:r>
        <w:t>Alexandra Hyard, Université de Lille</w:t>
      </w:r>
    </w:p>
    <w:p w:rsidR="009370EC" w:rsidRDefault="009370EC" w:rsidP="009370EC">
      <w:pPr>
        <w:spacing w:after="0" w:line="240" w:lineRule="auto"/>
      </w:pPr>
      <w:r>
        <w:t>Herrade Igersheim, Université de Strasbourg</w:t>
      </w:r>
    </w:p>
    <w:p w:rsidR="009370EC" w:rsidRDefault="009370EC" w:rsidP="009370EC">
      <w:pPr>
        <w:spacing w:after="0" w:line="240" w:lineRule="auto"/>
      </w:pPr>
      <w:r>
        <w:t xml:space="preserve">Laurent Jaffro, </w:t>
      </w:r>
      <w:r w:rsidR="00011E39">
        <w:t xml:space="preserve">Université </w:t>
      </w:r>
      <w:r>
        <w:t>Paris 1</w:t>
      </w:r>
    </w:p>
    <w:p w:rsidR="009370EC" w:rsidRDefault="009370EC" w:rsidP="009370EC">
      <w:pPr>
        <w:spacing w:after="0"/>
      </w:pPr>
      <w:r>
        <w:t xml:space="preserve">Franck Jovanovic, Université </w:t>
      </w:r>
      <w:proofErr w:type="spellStart"/>
      <w:r>
        <w:t>Téluq</w:t>
      </w:r>
      <w:proofErr w:type="spellEnd"/>
      <w:r>
        <w:t>, Québec</w:t>
      </w:r>
    </w:p>
    <w:p w:rsidR="009370EC" w:rsidRDefault="009370EC" w:rsidP="009370EC">
      <w:pPr>
        <w:spacing w:after="0" w:line="240" w:lineRule="auto"/>
      </w:pPr>
      <w:r>
        <w:t xml:space="preserve">Pierre Livet, </w:t>
      </w:r>
      <w:r w:rsidR="00011E39">
        <w:t>Université Aix-Marseille</w:t>
      </w:r>
    </w:p>
    <w:p w:rsidR="00011E39" w:rsidRDefault="00011E39" w:rsidP="009370EC">
      <w:pPr>
        <w:spacing w:after="0" w:line="240" w:lineRule="auto"/>
      </w:pPr>
      <w:proofErr w:type="spellStart"/>
      <w:r>
        <w:t>Harro</w:t>
      </w:r>
      <w:proofErr w:type="spellEnd"/>
      <w:r>
        <w:t xml:space="preserve"> Maas, Université de Lausanne, Suisse</w:t>
      </w:r>
    </w:p>
    <w:p w:rsidR="009370EC" w:rsidRDefault="009370EC" w:rsidP="009370EC">
      <w:pPr>
        <w:spacing w:after="0" w:line="240" w:lineRule="auto"/>
      </w:pPr>
      <w:r w:rsidRPr="001207F0">
        <w:t>Sébastien Motta</w:t>
      </w:r>
      <w:r w:rsidR="00011E39">
        <w:t>, Université Aix-Marseille</w:t>
      </w:r>
    </w:p>
    <w:p w:rsidR="00011E39" w:rsidRDefault="009370EC" w:rsidP="00011E39">
      <w:pPr>
        <w:spacing w:after="0"/>
      </w:pPr>
      <w:r>
        <w:t>Isabelle Pariente-</w:t>
      </w:r>
      <w:proofErr w:type="spellStart"/>
      <w:r>
        <w:t>Butterlin</w:t>
      </w:r>
      <w:proofErr w:type="spellEnd"/>
      <w:r>
        <w:t xml:space="preserve">, </w:t>
      </w:r>
      <w:r w:rsidR="00011E39">
        <w:t>Université Aix-Marseille</w:t>
      </w:r>
      <w:r w:rsidR="00011E39" w:rsidRPr="001207F0">
        <w:t xml:space="preserve"> </w:t>
      </w:r>
    </w:p>
    <w:p w:rsidR="009370EC" w:rsidRPr="001207F0" w:rsidRDefault="009370EC" w:rsidP="00011E39">
      <w:pPr>
        <w:spacing w:after="0"/>
      </w:pPr>
      <w:r w:rsidRPr="001207F0">
        <w:t xml:space="preserve">Emmanuel Picavet, </w:t>
      </w:r>
      <w:r w:rsidR="00011E39">
        <w:t xml:space="preserve">Université </w:t>
      </w:r>
      <w:r w:rsidRPr="001207F0">
        <w:t>Paris 1</w:t>
      </w:r>
    </w:p>
    <w:p w:rsidR="009370EC" w:rsidRPr="00011E39" w:rsidRDefault="009370EC" w:rsidP="009370EC">
      <w:pPr>
        <w:spacing w:after="0" w:line="240" w:lineRule="auto"/>
      </w:pPr>
      <w:r w:rsidRPr="00011E39">
        <w:t xml:space="preserve">David Romand, </w:t>
      </w:r>
      <w:r w:rsidR="00011E39">
        <w:t>Université Aix-Marseille</w:t>
      </w:r>
    </w:p>
    <w:p w:rsidR="009370EC" w:rsidRPr="00147450" w:rsidRDefault="009370EC" w:rsidP="009370EC">
      <w:pPr>
        <w:spacing w:after="0" w:line="240" w:lineRule="auto"/>
      </w:pPr>
      <w:r w:rsidRPr="00147450">
        <w:t xml:space="preserve">Yann Schmitt, </w:t>
      </w:r>
      <w:r w:rsidR="00011E39" w:rsidRPr="00147450">
        <w:t xml:space="preserve">Université </w:t>
      </w:r>
      <w:r w:rsidRPr="00147450">
        <w:t>Paris 1</w:t>
      </w:r>
    </w:p>
    <w:p w:rsidR="009370EC" w:rsidRPr="001207F0" w:rsidRDefault="009370EC" w:rsidP="009370EC">
      <w:pPr>
        <w:spacing w:after="0" w:line="240" w:lineRule="auto"/>
      </w:pPr>
      <w:r w:rsidRPr="001207F0">
        <w:t>Céline Spector, Université Mon</w:t>
      </w:r>
      <w:r>
        <w:t>taigne, Bordeaux</w:t>
      </w:r>
    </w:p>
    <w:p w:rsidR="009370EC" w:rsidRPr="001207F0" w:rsidRDefault="009370EC" w:rsidP="009370EC">
      <w:pPr>
        <w:spacing w:after="0" w:line="240" w:lineRule="auto"/>
      </w:pPr>
      <w:r w:rsidRPr="001207F0">
        <w:t xml:space="preserve">Miriam Teschl, EHESS </w:t>
      </w:r>
      <w:r w:rsidR="00011E39">
        <w:t>Université Aix-Marseille</w:t>
      </w:r>
    </w:p>
    <w:p w:rsidR="00305987" w:rsidRDefault="00394AE9" w:rsidP="00147450"/>
    <w:sectPr w:rsidR="00305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EC"/>
    <w:rsid w:val="00011E39"/>
    <w:rsid w:val="00147450"/>
    <w:rsid w:val="001F05B5"/>
    <w:rsid w:val="00394AE9"/>
    <w:rsid w:val="004744F6"/>
    <w:rsid w:val="008526AE"/>
    <w:rsid w:val="009370EC"/>
    <w:rsid w:val="00C24665"/>
    <w:rsid w:val="00CF61F4"/>
    <w:rsid w:val="00EB07AB"/>
    <w:rsid w:val="00F644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C16D7"/>
  <w15:docId w15:val="{551B0585-6EDC-44F7-8076-ABB85005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0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11E39"/>
    <w:rPr>
      <w:color w:val="0000FF"/>
      <w:u w:val="single"/>
    </w:rPr>
  </w:style>
  <w:style w:type="paragraph" w:styleId="Textedebulles">
    <w:name w:val="Balloon Text"/>
    <w:basedOn w:val="Normal"/>
    <w:link w:val="TextedebullesCar"/>
    <w:uiPriority w:val="99"/>
    <w:semiHidden/>
    <w:unhideWhenUsed/>
    <w:rsid w:val="00EB07A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B07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de2021.sciencesconf.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 Christophe</dc:creator>
  <cp:keywords/>
  <dc:description/>
  <cp:lastModifiedBy>SALVAT Christophe</cp:lastModifiedBy>
  <cp:revision>4</cp:revision>
  <dcterms:created xsi:type="dcterms:W3CDTF">2020-10-20T13:13:00Z</dcterms:created>
  <dcterms:modified xsi:type="dcterms:W3CDTF">2020-11-10T15:03:00Z</dcterms:modified>
</cp:coreProperties>
</file>